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67" w:type="dxa"/>
        <w:tblInd w:w="250" w:type="dxa"/>
        <w:tblLook w:val="04A0" w:firstRow="1" w:lastRow="0" w:firstColumn="1" w:lastColumn="0" w:noHBand="0" w:noVBand="1"/>
      </w:tblPr>
      <w:tblGrid>
        <w:gridCol w:w="5167"/>
      </w:tblGrid>
      <w:tr w:rsidR="00F025A3" w:rsidTr="006348D7">
        <w:trPr>
          <w:trHeight w:val="10901"/>
        </w:trPr>
        <w:tc>
          <w:tcPr>
            <w:tcW w:w="5167" w:type="dxa"/>
          </w:tcPr>
          <w:p w:rsidR="00F025A3" w:rsidRPr="009B0804" w:rsidRDefault="00F025A3" w:rsidP="00F025A3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b/>
              </w:rPr>
              <w:t xml:space="preserve">    </w:t>
            </w:r>
            <w:r w:rsidRPr="009B0804">
              <w:rPr>
                <w:rFonts w:ascii="Times New Roman" w:hAnsi="Times New Roman" w:cs="Times New Roman"/>
                <w:b/>
                <w:sz w:val="23"/>
                <w:szCs w:val="23"/>
              </w:rPr>
              <w:t>Дача взятки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– преступление,</w:t>
            </w:r>
            <w:r w:rsidR="00920A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>направленное на склонение должностного лица к совершению законных или незаконных действий (бездействий) либо представлению получению каких-либо преимуществ в пользу дающего,</w:t>
            </w:r>
            <w:r w:rsidR="00920AD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в том числе за общее покровительство или попустительство по службе. </w:t>
            </w:r>
          </w:p>
          <w:p w:rsidR="00F025A3" w:rsidRPr="009B0804" w:rsidRDefault="00F025A3" w:rsidP="00F025A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08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Посредничество во взяточничестве -</w:t>
            </w:r>
            <w:r w:rsidR="00FB6AE0"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преступление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FB6AE0"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>связанное с непосредственной передачей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</w:t>
            </w:r>
          </w:p>
          <w:p w:rsidR="00F025A3" w:rsidRPr="009B0804" w:rsidRDefault="00F025A3" w:rsidP="00F025A3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B08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Взяткой могут быть:</w:t>
            </w:r>
          </w:p>
          <w:p w:rsidR="00F025A3" w:rsidRPr="009B0804" w:rsidRDefault="00F025A3" w:rsidP="00F025A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    - </w:t>
            </w:r>
            <w:r w:rsidRPr="009B080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предметы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– деньги, в том числе валюта, банковские чеки, ценные бумаги, изделия драгоценных металлов и камней, автомашины, продукты питания, видеотехника, бытовые приборы, и другие товары, квартиры, дачи, загородные дома, гаражи, земельны</w:t>
            </w:r>
            <w:r w:rsidR="00FB6AE0" w:rsidRPr="009B0804">
              <w:rPr>
                <w:rFonts w:ascii="Times New Roman" w:hAnsi="Times New Roman" w:cs="Times New Roman"/>
                <w:sz w:val="23"/>
                <w:szCs w:val="23"/>
              </w:rPr>
              <w:t>е участки и другая недвижимость;</w:t>
            </w:r>
          </w:p>
          <w:p w:rsidR="00F025A3" w:rsidRPr="009B0804" w:rsidRDefault="00F025A3" w:rsidP="00F025A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   - </w:t>
            </w:r>
            <w:r w:rsidRPr="009B080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услуги и выгоды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– л</w:t>
            </w:r>
            <w:r w:rsidR="00FB6AE0" w:rsidRPr="009B0804">
              <w:rPr>
                <w:rFonts w:ascii="Times New Roman" w:hAnsi="Times New Roman" w:cs="Times New Roman"/>
                <w:sz w:val="23"/>
                <w:szCs w:val="23"/>
              </w:rPr>
              <w:t>ечение, ремонтные и строительные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работы, санаторные и туристические путевки, поездки за границу, оплата развлечений и других расходов безвозмез</w:t>
            </w:r>
            <w:r w:rsidR="00FB6AE0" w:rsidRPr="009B0804">
              <w:rPr>
                <w:rFonts w:ascii="Times New Roman" w:hAnsi="Times New Roman" w:cs="Times New Roman"/>
                <w:sz w:val="23"/>
                <w:szCs w:val="23"/>
              </w:rPr>
              <w:t>дно или по заниженной стоимости;</w:t>
            </w:r>
          </w:p>
          <w:p w:rsidR="00F025A3" w:rsidRDefault="00F025A3" w:rsidP="0016282E">
            <w:pPr>
              <w:jc w:val="both"/>
              <w:rPr>
                <w:b/>
              </w:rPr>
            </w:pP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   - </w:t>
            </w:r>
            <w:r w:rsidRPr="009B0804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завуалированная форма взятки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– банковская ссуда в долг или под видом погашения несуществующего долга, оплата товаров, купленных по заниженной или завышенной цене, заключение фиктивных трудовых договоров</w:t>
            </w:r>
            <w:r w:rsidR="00FB6AE0" w:rsidRPr="009B0804">
              <w:rPr>
                <w:rFonts w:ascii="Times New Roman" w:hAnsi="Times New Roman" w:cs="Times New Roman"/>
                <w:sz w:val="23"/>
                <w:szCs w:val="23"/>
              </w:rPr>
              <w:t xml:space="preserve"> с выплатой зарплаты взяточнику</w:t>
            </w:r>
            <w:r w:rsidRPr="009B0804">
              <w:rPr>
                <w:rFonts w:ascii="Times New Roman" w:hAnsi="Times New Roman" w:cs="Times New Roman"/>
                <w:sz w:val="23"/>
                <w:szCs w:val="23"/>
              </w:rPr>
              <w:t>, его родственникам или друзьям, получение льготного кредита, завышение гонорара за лекции, статьи и книги, прощение долга, уменьшение арендной платы, уменьшение процентных ставок по кредиту и т.д</w:t>
            </w:r>
          </w:p>
          <w:p w:rsidR="00247190" w:rsidRDefault="00247190" w:rsidP="0016282E">
            <w:pPr>
              <w:jc w:val="both"/>
              <w:rPr>
                <w:b/>
              </w:rPr>
            </w:pPr>
          </w:p>
          <w:p w:rsidR="00247190" w:rsidRDefault="00247190" w:rsidP="0016282E">
            <w:pPr>
              <w:jc w:val="both"/>
              <w:rPr>
                <w:b/>
              </w:rPr>
            </w:pPr>
          </w:p>
        </w:tc>
      </w:tr>
    </w:tbl>
    <w:tbl>
      <w:tblPr>
        <w:tblW w:w="5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F025A3" w:rsidRPr="00F025A3" w:rsidTr="00F14EB4">
        <w:trPr>
          <w:trHeight w:val="10901"/>
        </w:trPr>
        <w:tc>
          <w:tcPr>
            <w:tcW w:w="5245" w:type="dxa"/>
          </w:tcPr>
          <w:p w:rsidR="00F025A3" w:rsidRPr="006D73F1" w:rsidRDefault="006D73F1" w:rsidP="00F025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6D73F1">
              <w:rPr>
                <w:rFonts w:ascii="Times New Roman" w:hAnsi="Times New Roman" w:cs="Times New Roman"/>
                <w:b/>
              </w:rPr>
              <w:t>КОСВЕННЫЕ ПРИЗНАКИ ВЗЯТКИ:</w:t>
            </w:r>
          </w:p>
          <w:p w:rsidR="00F025A3" w:rsidRDefault="00F025A3" w:rsidP="0024719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разговор о возможной взятке </w:t>
            </w:r>
            <w:r w:rsidR="00FB6AE0">
              <w:rPr>
                <w:rFonts w:ascii="Times New Roman" w:hAnsi="Times New Roman" w:cs="Times New Roman"/>
              </w:rPr>
              <w:t xml:space="preserve">имеет </w:t>
            </w:r>
            <w:r>
              <w:rPr>
                <w:rFonts w:ascii="Times New Roman" w:hAnsi="Times New Roman" w:cs="Times New Roman"/>
              </w:rPr>
              <w:t>потенциальный характер, речь чиновника состоит из односложных предложений, не содержащих открытых заявлений о том, что вопрос он может решить только в случае передачи ему денег или оказания какой-либо услуги; никакие «опасные» выражения при этом не допускаются;</w:t>
            </w:r>
          </w:p>
          <w:p w:rsidR="00F025A3" w:rsidRDefault="00F025A3" w:rsidP="00F025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в ходе беседы чиновник, заявляя об отказе решить тот или иной вопрос («не смогу помочь», «это незаконно», </w:t>
            </w:r>
            <w:r w:rsidR="00DA0E2D">
              <w:rPr>
                <w:rFonts w:ascii="Times New Roman" w:hAnsi="Times New Roman" w:cs="Times New Roman"/>
              </w:rPr>
              <w:t>«у меня нет таких возможностей»), жестами или мимикой дает понять, что готов обсудить возможности решения вопроса в др</w:t>
            </w:r>
            <w:r w:rsidR="00FB6AE0">
              <w:rPr>
                <w:rFonts w:ascii="Times New Roman" w:hAnsi="Times New Roman" w:cs="Times New Roman"/>
              </w:rPr>
              <w:t>угой обстановке (в другое время</w:t>
            </w:r>
            <w:r w:rsidR="00DA0E2D">
              <w:rPr>
                <w:rFonts w:ascii="Times New Roman" w:hAnsi="Times New Roman" w:cs="Times New Roman"/>
              </w:rPr>
              <w:t>, в другом месте);</w:t>
            </w:r>
          </w:p>
          <w:p w:rsidR="00DA0E2D" w:rsidRDefault="00DA0E2D" w:rsidP="00F025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сумма или характер взятки не озвучиваются, вместе с тем соответствующие цифры могут быть написаны на листе бумаги, набраны на калькуляторе, телефоне или компьютере и продемонстрированы потенциальному взяткодателю;</w:t>
            </w:r>
          </w:p>
          <w:p w:rsidR="00DA0E2D" w:rsidRDefault="00DA0E2D" w:rsidP="00F025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чиновник может неожиданно прервать беседу и под благовидным предлогом оставить посетителя одного в кабинете, оставив при этом открытыми ящик стола, папку с материалами, портфель и т.д.;</w:t>
            </w:r>
          </w:p>
          <w:p w:rsidR="00DA0E2D" w:rsidRDefault="00DA0E2D" w:rsidP="00F025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вымогатель взятки может переадресовать продолжение контакта другому ч</w:t>
            </w:r>
            <w:r w:rsidR="00FB6AE0">
              <w:rPr>
                <w:rFonts w:ascii="Times New Roman" w:hAnsi="Times New Roman" w:cs="Times New Roman"/>
              </w:rPr>
              <w:t>еловеку, на</w:t>
            </w:r>
            <w:r w:rsidR="006D73F1">
              <w:rPr>
                <w:rFonts w:ascii="Times New Roman" w:hAnsi="Times New Roman" w:cs="Times New Roman"/>
              </w:rPr>
              <w:t>прямую не связанному</w:t>
            </w:r>
            <w:r>
              <w:rPr>
                <w:rFonts w:ascii="Times New Roman" w:hAnsi="Times New Roman" w:cs="Times New Roman"/>
              </w:rPr>
              <w:t xml:space="preserve"> с решением вопроса.</w:t>
            </w:r>
          </w:p>
          <w:p w:rsidR="00DA0E2D" w:rsidRPr="006D73F1" w:rsidRDefault="00DA0E2D" w:rsidP="00F025A3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E1DB6">
              <w:rPr>
                <w:rFonts w:ascii="Times New Roman" w:hAnsi="Times New Roman" w:cs="Times New Roman"/>
                <w:b/>
              </w:rPr>
              <w:t>КАК ДЕЙСТВОВАТЬ В СЛУЧАЯХ ВЫМО</w:t>
            </w:r>
            <w:r w:rsidRPr="006D73F1">
              <w:rPr>
                <w:rFonts w:ascii="Times New Roman" w:hAnsi="Times New Roman" w:cs="Times New Roman"/>
                <w:b/>
              </w:rPr>
              <w:t>ГАТЕЛЬСТВА ВЗЯТКИ:</w:t>
            </w:r>
          </w:p>
          <w:p w:rsidR="00DA0E2D" w:rsidRDefault="00DA0E2D" w:rsidP="00F025A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вести себя осторожно, вежливо, без заискивания, не допуская опрометчивых высказываний, которые вымогатель мог бы трактовать как готовность, либо как категорический отказ дать взятку;</w:t>
            </w:r>
          </w:p>
          <w:p w:rsidR="006D73F1" w:rsidRDefault="00DA0E2D" w:rsidP="009B080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внимательно выслушать и точно запомнить поставленные Вам условия (размеры сумм, наименования товара и характер услуг, сроки и способы передачи взятки);</w:t>
            </w:r>
            <w:r w:rsidR="006D73F1">
              <w:rPr>
                <w:rFonts w:ascii="Times New Roman" w:hAnsi="Times New Roman" w:cs="Times New Roman"/>
              </w:rPr>
              <w:t xml:space="preserve"> </w:t>
            </w:r>
          </w:p>
          <w:p w:rsidR="006348D7" w:rsidRDefault="006348D7" w:rsidP="00FB6A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47190" w:rsidRDefault="00247190" w:rsidP="00FB6A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</w:t>
            </w:r>
          </w:p>
          <w:p w:rsidR="006D73F1" w:rsidRDefault="006D73F1" w:rsidP="00FB6A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поинтересоваться у собеседника о гарантиях решен</w:t>
            </w:r>
            <w:r w:rsidR="00FB6AE0">
              <w:rPr>
                <w:rFonts w:ascii="Times New Roman" w:hAnsi="Times New Roman" w:cs="Times New Roman"/>
              </w:rPr>
              <w:t>ия вопроса в случае дачи взятки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D73F1" w:rsidRDefault="006D73F1" w:rsidP="00FB6AE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не берите инициативу в разговоре на себя, позволяйте потенциальному взяткополучателю сообщить Вам как можно больше информации;</w:t>
            </w:r>
          </w:p>
          <w:p w:rsidR="006D73F1" w:rsidRDefault="006D73F1" w:rsidP="006D73F1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D73F1">
              <w:rPr>
                <w:rFonts w:ascii="Times New Roman" w:hAnsi="Times New Roman" w:cs="Times New Roman"/>
                <w:b/>
                <w:u w:val="single"/>
              </w:rPr>
              <w:t>- ни в коем случае не давать взятку !!!</w:t>
            </w:r>
          </w:p>
          <w:p w:rsidR="006D73F1" w:rsidRDefault="006D73F1" w:rsidP="006D73F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ДЕЙСТВИЯ ПОСЛЕ СОВЕРШЕНИЯ В                                                                                     ОТНОШЕНИИ ВАС КОРРУПЦИОННОГО ПРЕСТУПЛЕНИЯ</w:t>
            </w:r>
          </w:p>
          <w:p w:rsidR="003B7189" w:rsidRDefault="002D4E8C" w:rsidP="003B71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73F1">
              <w:rPr>
                <w:rFonts w:ascii="Times New Roman" w:hAnsi="Times New Roman" w:cs="Times New Roman"/>
              </w:rPr>
              <w:t>Вам необходимо обратиться с устным или письменным сообщением о готовящемся преступлении в любой из территориальных правоохранительных органов</w:t>
            </w:r>
            <w:r>
              <w:rPr>
                <w:rFonts w:ascii="Times New Roman" w:hAnsi="Times New Roman" w:cs="Times New Roman"/>
              </w:rPr>
              <w:t xml:space="preserve"> по месту Вашего жительства, а также в правоохр</w:t>
            </w:r>
            <w:r w:rsidR="00FB6AE0">
              <w:rPr>
                <w:rFonts w:ascii="Times New Roman" w:hAnsi="Times New Roman" w:cs="Times New Roman"/>
              </w:rPr>
              <w:t>анительные органы на транспорте:</w:t>
            </w:r>
          </w:p>
          <w:p w:rsidR="002D4E8C" w:rsidRDefault="00FB6AE0" w:rsidP="003B71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B7189">
              <w:rPr>
                <w:rFonts w:ascii="Times New Roman" w:hAnsi="Times New Roman" w:cs="Times New Roman"/>
              </w:rPr>
              <w:t xml:space="preserve">Севастопольский ЛОП Крымского ЛУ МВД России на транспорте </w:t>
            </w:r>
            <w:r>
              <w:rPr>
                <w:rFonts w:ascii="Times New Roman" w:hAnsi="Times New Roman" w:cs="Times New Roman"/>
              </w:rPr>
              <w:t xml:space="preserve">(г. </w:t>
            </w:r>
            <w:r w:rsidR="003B7189">
              <w:rPr>
                <w:rFonts w:ascii="Times New Roman" w:hAnsi="Times New Roman" w:cs="Times New Roman"/>
              </w:rPr>
              <w:t xml:space="preserve">Севастополь,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r w:rsidR="003B7189">
              <w:rPr>
                <w:rFonts w:ascii="Times New Roman" w:hAnsi="Times New Roman" w:cs="Times New Roman"/>
              </w:rPr>
              <w:t>Вокзальная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B7189">
              <w:rPr>
                <w:rFonts w:ascii="Times New Roman" w:hAnsi="Times New Roman" w:cs="Times New Roman"/>
              </w:rPr>
              <w:t>5-г</w:t>
            </w:r>
            <w:r>
              <w:rPr>
                <w:rFonts w:ascii="Times New Roman" w:hAnsi="Times New Roman" w:cs="Times New Roman"/>
              </w:rPr>
              <w:t>, тел.</w:t>
            </w:r>
            <w:r w:rsidR="009B0804">
              <w:rPr>
                <w:rFonts w:ascii="Times New Roman" w:hAnsi="Times New Roman" w:cs="Times New Roman"/>
              </w:rPr>
              <w:t xml:space="preserve">  </w:t>
            </w:r>
            <w:r w:rsidR="003B7189">
              <w:rPr>
                <w:rFonts w:ascii="Times New Roman" w:hAnsi="Times New Roman" w:cs="Times New Roman"/>
              </w:rPr>
              <w:t>59-45-63</w:t>
            </w:r>
            <w:r w:rsidR="009B0804">
              <w:rPr>
                <w:rFonts w:ascii="Times New Roman" w:hAnsi="Times New Roman" w:cs="Times New Roman"/>
              </w:rPr>
              <w:t>)</w:t>
            </w:r>
            <w:r w:rsidR="002D4E8C">
              <w:rPr>
                <w:rFonts w:ascii="Times New Roman" w:hAnsi="Times New Roman" w:cs="Times New Roman"/>
              </w:rPr>
              <w:t>;</w:t>
            </w:r>
          </w:p>
          <w:p w:rsidR="002D4E8C" w:rsidRDefault="002D4E8C" w:rsidP="006D73F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9C7C50">
              <w:rPr>
                <w:rFonts w:ascii="Times New Roman" w:hAnsi="Times New Roman" w:cs="Times New Roman"/>
              </w:rPr>
              <w:t>Севастопольская</w:t>
            </w:r>
            <w:r w:rsidR="00FB6AE0">
              <w:rPr>
                <w:rFonts w:ascii="Times New Roman" w:hAnsi="Times New Roman" w:cs="Times New Roman"/>
              </w:rPr>
              <w:t xml:space="preserve"> транспортная прокуратура (г</w:t>
            </w:r>
            <w:r w:rsidR="009C7C50">
              <w:rPr>
                <w:rFonts w:ascii="Times New Roman" w:hAnsi="Times New Roman" w:cs="Times New Roman"/>
              </w:rPr>
              <w:t>. Севастополь</w:t>
            </w:r>
            <w:r w:rsidR="00FB6AE0">
              <w:rPr>
                <w:rFonts w:ascii="Times New Roman" w:hAnsi="Times New Roman" w:cs="Times New Roman"/>
              </w:rPr>
              <w:t xml:space="preserve">, ул. </w:t>
            </w:r>
            <w:r w:rsidR="009C7C50">
              <w:rPr>
                <w:rFonts w:ascii="Times New Roman" w:hAnsi="Times New Roman" w:cs="Times New Roman"/>
              </w:rPr>
              <w:t>Воронина</w:t>
            </w:r>
            <w:r w:rsidR="00FB6AE0">
              <w:rPr>
                <w:rFonts w:ascii="Times New Roman" w:hAnsi="Times New Roman" w:cs="Times New Roman"/>
              </w:rPr>
              <w:t xml:space="preserve">, </w:t>
            </w:r>
            <w:r w:rsidR="009C7C50">
              <w:rPr>
                <w:rFonts w:ascii="Times New Roman" w:hAnsi="Times New Roman" w:cs="Times New Roman"/>
              </w:rPr>
              <w:t>11</w:t>
            </w:r>
            <w:r w:rsidR="00FB6AE0">
              <w:rPr>
                <w:rFonts w:ascii="Times New Roman" w:hAnsi="Times New Roman" w:cs="Times New Roman"/>
              </w:rPr>
              <w:t xml:space="preserve">, тел. </w:t>
            </w:r>
            <w:r w:rsidR="009C7C50">
              <w:rPr>
                <w:rFonts w:ascii="Times New Roman" w:hAnsi="Times New Roman" w:cs="Times New Roman"/>
              </w:rPr>
              <w:t>54-54-18</w:t>
            </w:r>
            <w:r w:rsidR="00FB6AE0">
              <w:rPr>
                <w:rFonts w:ascii="Times New Roman" w:hAnsi="Times New Roman" w:cs="Times New Roman"/>
              </w:rPr>
              <w:t>).</w:t>
            </w:r>
          </w:p>
          <w:p w:rsidR="00247190" w:rsidRPr="006D73F1" w:rsidRDefault="002D4E8C" w:rsidP="008B30E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 фактах коррупционных проявлений также можно сообщить в вышеуказанные правоохранительные органы </w:t>
            </w:r>
            <w:bookmarkStart w:id="0" w:name="_GoBack"/>
            <w:bookmarkEnd w:id="0"/>
          </w:p>
        </w:tc>
      </w:tr>
    </w:tbl>
    <w:tbl>
      <w:tblPr>
        <w:tblStyle w:val="a3"/>
        <w:tblW w:w="5167" w:type="dxa"/>
        <w:tblInd w:w="250" w:type="dxa"/>
        <w:tblLook w:val="04A0" w:firstRow="1" w:lastRow="0" w:firstColumn="1" w:lastColumn="0" w:noHBand="0" w:noVBand="1"/>
      </w:tblPr>
      <w:tblGrid>
        <w:gridCol w:w="5167"/>
      </w:tblGrid>
      <w:tr w:rsidR="00F025A3" w:rsidTr="006348D7">
        <w:trPr>
          <w:trHeight w:val="11327"/>
        </w:trPr>
        <w:tc>
          <w:tcPr>
            <w:tcW w:w="5167" w:type="dxa"/>
          </w:tcPr>
          <w:p w:rsidR="00F025A3" w:rsidRPr="00247190" w:rsidRDefault="00247190" w:rsidP="001628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  <w:r w:rsidR="002D4E8C"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В случаях вымогательства взятки со стороны сотрудников правоохранительных органов, </w:t>
            </w:r>
            <w:r w:rsidR="002D4E8C" w:rsidRPr="0024719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Вы можете</w:t>
            </w:r>
            <w:r w:rsidR="002D4E8C"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обращаться непосредственно в подразделения собственной безопасности указанных органов, которые занимаются вопросами пресечения преступлений, совершаемых сотрудниками.</w:t>
            </w:r>
          </w:p>
          <w:p w:rsidR="002D4E8C" w:rsidRPr="00247190" w:rsidRDefault="002D4E8C" w:rsidP="001628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24719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Вы вправе</w:t>
            </w: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прийти на прием к руководителю правоохранительного органа</w:t>
            </w:r>
            <w:r w:rsidR="00DE1DB6" w:rsidRPr="00247190">
              <w:rPr>
                <w:rFonts w:ascii="Times New Roman" w:hAnsi="Times New Roman" w:cs="Times New Roman"/>
                <w:sz w:val="23"/>
                <w:szCs w:val="23"/>
              </w:rPr>
              <w:t>, куда Вы обратились с сообщени</w:t>
            </w: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>ем о вымогательстве</w:t>
            </w:r>
            <w:r w:rsidR="00DE1DB6"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взятки, либо написать заявление о факте вымогательства взятки.</w:t>
            </w:r>
          </w:p>
          <w:p w:rsidR="00DE1DB6" w:rsidRPr="00247190" w:rsidRDefault="00DE1DB6" w:rsidP="001628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4719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>Устные сообщения и письменные заявления о преступлениях принимаются в правоохранительных органах круглосуточно, независимо от места и времени совершения преступления.</w:t>
            </w:r>
          </w:p>
          <w:p w:rsidR="00DE1DB6" w:rsidRPr="00247190" w:rsidRDefault="00DE1DB6" w:rsidP="001628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719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 Вы имеете право</w:t>
            </w: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получить талон-уведомление, в котором указываются сведения о сотруднике, принявшем сообщение, и его подпись, регистрационный номер, наименование, адрес, телефон правоохранительного органа, дата при</w:t>
            </w:r>
            <w:r w:rsidR="00247190">
              <w:rPr>
                <w:rFonts w:ascii="Times New Roman" w:hAnsi="Times New Roman" w:cs="Times New Roman"/>
                <w:sz w:val="23"/>
                <w:szCs w:val="23"/>
              </w:rPr>
              <w:t xml:space="preserve">нятия </w:t>
            </w: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>сообщения.</w:t>
            </w:r>
          </w:p>
          <w:p w:rsidR="00DE1DB6" w:rsidRPr="00247190" w:rsidRDefault="00247190" w:rsidP="001628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DE1DB6" w:rsidRPr="00247190">
              <w:rPr>
                <w:rFonts w:ascii="Times New Roman" w:hAnsi="Times New Roman" w:cs="Times New Roman"/>
                <w:sz w:val="23"/>
                <w:szCs w:val="23"/>
              </w:rPr>
              <w:t>В правоохранительном органе полученное от Вас сообщение (заявление) должно быть незамедлительно зарегистрировано.</w:t>
            </w:r>
          </w:p>
          <w:p w:rsidR="00DE1DB6" w:rsidRPr="00247190" w:rsidRDefault="00DE1DB6" w:rsidP="001628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24719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Вы имеете право</w:t>
            </w: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выяснить в правоохранительном органе, которому поручено заниматься проверкой Вашего сообщения (заявления), о характере принимаемых мер и результатах проверки.</w:t>
            </w:r>
          </w:p>
          <w:p w:rsidR="00DE1DB6" w:rsidRPr="00247190" w:rsidRDefault="00DE1DB6" w:rsidP="0016282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4719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отказа принять от Вас сообщение (заявление) </w:t>
            </w:r>
            <w:r w:rsidRPr="00247190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Вы вправе</w:t>
            </w:r>
            <w:r w:rsidRPr="00247190">
              <w:rPr>
                <w:rFonts w:ascii="Times New Roman" w:hAnsi="Times New Roman" w:cs="Times New Roman"/>
                <w:sz w:val="23"/>
                <w:szCs w:val="23"/>
              </w:rPr>
              <w:t xml:space="preserve"> обжаловать данные действия в вышестоящих инстанциях, а также подать жалобу на неправомерные действия сотрудников правоохранительных органов в органы прокуратуры и (или) в суд.</w:t>
            </w:r>
          </w:p>
          <w:p w:rsidR="00DE1DB6" w:rsidRDefault="00DE1DB6" w:rsidP="0016282E">
            <w:pPr>
              <w:jc w:val="both"/>
            </w:pPr>
          </w:p>
        </w:tc>
      </w:tr>
    </w:tbl>
    <w:tbl>
      <w:tblPr>
        <w:tblW w:w="5620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0"/>
      </w:tblGrid>
      <w:tr w:rsidR="00B1625F" w:rsidTr="00F14EB4">
        <w:trPr>
          <w:trHeight w:val="10831"/>
        </w:trPr>
        <w:tc>
          <w:tcPr>
            <w:tcW w:w="5620" w:type="dxa"/>
            <w:tcBorders>
              <w:left w:val="single" w:sz="4" w:space="0" w:color="auto"/>
            </w:tcBorders>
          </w:tcPr>
          <w:p w:rsidR="00B1625F" w:rsidRDefault="00B1625F" w:rsidP="00B1625F">
            <w:pPr>
              <w:spacing w:line="240" w:lineRule="auto"/>
              <w:ind w:left="517"/>
              <w:jc w:val="both"/>
            </w:pPr>
          </w:p>
          <w:p w:rsidR="00B1625F" w:rsidRDefault="00B1625F" w:rsidP="00B1625F">
            <w:pPr>
              <w:spacing w:line="240" w:lineRule="auto"/>
              <w:ind w:left="517"/>
              <w:jc w:val="both"/>
            </w:pPr>
          </w:p>
          <w:p w:rsidR="00D27B85" w:rsidRDefault="00B1625F" w:rsidP="006348D7">
            <w:pPr>
              <w:spacing w:line="240" w:lineRule="auto"/>
              <w:jc w:val="both"/>
            </w:pPr>
            <w:r>
              <w:t xml:space="preserve">             </w:t>
            </w: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B1625F">
            <w:pPr>
              <w:spacing w:line="240" w:lineRule="auto"/>
              <w:ind w:left="517"/>
              <w:jc w:val="both"/>
            </w:pPr>
          </w:p>
          <w:p w:rsidR="006348D7" w:rsidRDefault="006348D7" w:rsidP="00B1625F">
            <w:pPr>
              <w:spacing w:line="240" w:lineRule="auto"/>
              <w:ind w:left="517"/>
              <w:jc w:val="both"/>
            </w:pPr>
          </w:p>
          <w:p w:rsidR="00D27B85" w:rsidRDefault="00D27B85" w:rsidP="00D27B85">
            <w:pPr>
              <w:spacing w:line="240" w:lineRule="auto"/>
              <w:jc w:val="both"/>
            </w:pPr>
          </w:p>
        </w:tc>
      </w:tr>
    </w:tbl>
    <w:tbl>
      <w:tblPr>
        <w:tblpPr w:leftFromText="180" w:rightFromText="180" w:vertAnchor="text" w:tblpX="5419" w:tblpY="-464"/>
        <w:tblW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B1625F" w:rsidTr="00B1625F">
        <w:trPr>
          <w:trHeight w:val="11280"/>
        </w:trPr>
        <w:tc>
          <w:tcPr>
            <w:tcW w:w="5220" w:type="dxa"/>
          </w:tcPr>
          <w:p w:rsidR="00B1625F" w:rsidRDefault="00B1625F" w:rsidP="00B1625F">
            <w:pPr>
              <w:spacing w:line="240" w:lineRule="auto"/>
              <w:jc w:val="both"/>
            </w:pPr>
          </w:p>
        </w:tc>
      </w:tr>
    </w:tbl>
    <w:p w:rsidR="0016282E" w:rsidRDefault="0016282E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</w:pPr>
    </w:p>
    <w:p w:rsidR="00781A0F" w:rsidRDefault="009B0804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</w:pPr>
      <w:r w:rsidRPr="00E074DB">
        <w:object w:dxaOrig="3330" w:dyaOrig="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8.25pt" o:ole="">
            <v:imagedata r:id="rId7" o:title="" gain="84021f" blacklevel="-5243f"/>
          </v:shape>
          <o:OLEObject Type="Embed" ProgID="PBrush" ShapeID="_x0000_i1025" DrawAspect="Content" ObjectID="_1604735403" r:id="rId8"/>
        </w:object>
      </w:r>
    </w:p>
    <w:p w:rsidR="00781A0F" w:rsidRDefault="00781A0F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</w:pPr>
    </w:p>
    <w:p w:rsidR="00781A0F" w:rsidRPr="00D27B85" w:rsidRDefault="00781A0F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7B85">
        <w:rPr>
          <w:rFonts w:ascii="Times New Roman" w:hAnsi="Times New Roman" w:cs="Times New Roman"/>
          <w:sz w:val="28"/>
          <w:szCs w:val="28"/>
        </w:rPr>
        <w:t>Прокуратура Российской Федерации</w:t>
      </w:r>
    </w:p>
    <w:p w:rsidR="00781A0F" w:rsidRPr="00D27B85" w:rsidRDefault="00781A0F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27B85">
        <w:rPr>
          <w:rFonts w:ascii="Times New Roman" w:hAnsi="Times New Roman" w:cs="Times New Roman"/>
          <w:sz w:val="28"/>
          <w:szCs w:val="28"/>
        </w:rPr>
        <w:t>Южная транспортная прокуратура</w:t>
      </w:r>
    </w:p>
    <w:p w:rsidR="00781A0F" w:rsidRPr="00D27B85" w:rsidRDefault="00B56102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Севастопольская</w:t>
      </w:r>
      <w:r w:rsidR="00781A0F" w:rsidRPr="00D27B85">
        <w:rPr>
          <w:rFonts w:ascii="Times New Roman" w:hAnsi="Times New Roman" w:cs="Times New Roman"/>
          <w:sz w:val="28"/>
          <w:szCs w:val="28"/>
        </w:rPr>
        <w:t xml:space="preserve"> транспортная прокуратура</w:t>
      </w:r>
    </w:p>
    <w:p w:rsidR="00781A0F" w:rsidRDefault="00781A0F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</w:pPr>
    </w:p>
    <w:p w:rsidR="00781A0F" w:rsidRPr="00D27B85" w:rsidRDefault="00781A0F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  <w:rPr>
          <w:b/>
          <w:sz w:val="36"/>
          <w:szCs w:val="36"/>
        </w:rPr>
      </w:pPr>
      <w:r w:rsidRPr="00D27B85">
        <w:rPr>
          <w:b/>
          <w:sz w:val="36"/>
          <w:szCs w:val="36"/>
        </w:rPr>
        <w:t>ПАМЯТКА</w:t>
      </w:r>
    </w:p>
    <w:p w:rsidR="00247190" w:rsidRDefault="00781A0F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247190">
        <w:rPr>
          <w:b/>
          <w:sz w:val="36"/>
          <w:szCs w:val="36"/>
        </w:rPr>
        <w:t xml:space="preserve">Что делать, если Вам предлагают </w:t>
      </w:r>
    </w:p>
    <w:p w:rsidR="00781A0F" w:rsidRPr="00247190" w:rsidRDefault="00781A0F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247190">
        <w:rPr>
          <w:b/>
          <w:sz w:val="36"/>
          <w:szCs w:val="36"/>
        </w:rPr>
        <w:t>взятку?</w:t>
      </w:r>
    </w:p>
    <w:p w:rsidR="00D27B85" w:rsidRDefault="00D27B85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  <w:rPr>
          <w:b/>
          <w:sz w:val="32"/>
          <w:szCs w:val="32"/>
        </w:rPr>
      </w:pPr>
    </w:p>
    <w:p w:rsidR="00D27B85" w:rsidRDefault="00D27B85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  <w:rPr>
          <w:b/>
          <w:sz w:val="32"/>
          <w:szCs w:val="32"/>
        </w:rPr>
      </w:pPr>
    </w:p>
    <w:p w:rsidR="00D27B85" w:rsidRDefault="00D27B85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after="0" w:line="240" w:lineRule="auto"/>
        <w:jc w:val="center"/>
        <w:rPr>
          <w:b/>
          <w:sz w:val="32"/>
          <w:szCs w:val="32"/>
        </w:rPr>
      </w:pPr>
    </w:p>
    <w:p w:rsidR="00247190" w:rsidRDefault="00247190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after="0" w:line="240" w:lineRule="auto"/>
        <w:jc w:val="center"/>
        <w:rPr>
          <w:b/>
          <w:sz w:val="32"/>
          <w:szCs w:val="32"/>
        </w:rPr>
      </w:pPr>
    </w:p>
    <w:p w:rsidR="00D27B85" w:rsidRDefault="00D27B85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after="0" w:line="240" w:lineRule="auto"/>
        <w:jc w:val="center"/>
        <w:rPr>
          <w:b/>
          <w:sz w:val="32"/>
          <w:szCs w:val="32"/>
        </w:rPr>
      </w:pPr>
    </w:p>
    <w:p w:rsidR="00D27B85" w:rsidRDefault="00D27B85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spacing w:after="0" w:line="240" w:lineRule="auto"/>
        <w:jc w:val="center"/>
        <w:rPr>
          <w:b/>
          <w:sz w:val="32"/>
          <w:szCs w:val="32"/>
        </w:rPr>
      </w:pPr>
    </w:p>
    <w:p w:rsidR="006348D7" w:rsidRPr="006348D7" w:rsidRDefault="006348D7" w:rsidP="00B5610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center"/>
        <w:rPr>
          <w:sz w:val="20"/>
          <w:szCs w:val="20"/>
        </w:rPr>
      </w:pPr>
      <w:r w:rsidRPr="006348D7">
        <w:rPr>
          <w:sz w:val="20"/>
          <w:szCs w:val="20"/>
        </w:rPr>
        <w:t xml:space="preserve">г. </w:t>
      </w:r>
      <w:r w:rsidR="00B56102">
        <w:rPr>
          <w:sz w:val="20"/>
          <w:szCs w:val="20"/>
        </w:rPr>
        <w:t>Севастополь</w:t>
      </w:r>
      <w:r>
        <w:rPr>
          <w:sz w:val="20"/>
          <w:szCs w:val="20"/>
        </w:rPr>
        <w:t>,2018 год</w:t>
      </w:r>
    </w:p>
    <w:sectPr w:rsidR="006348D7" w:rsidRPr="006348D7" w:rsidSect="00D366E8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4B8" w:rsidRDefault="007F44B8" w:rsidP="00D366E8">
      <w:pPr>
        <w:spacing w:after="0" w:line="240" w:lineRule="auto"/>
      </w:pPr>
      <w:r>
        <w:separator/>
      </w:r>
    </w:p>
  </w:endnote>
  <w:endnote w:type="continuationSeparator" w:id="0">
    <w:p w:rsidR="007F44B8" w:rsidRDefault="007F44B8" w:rsidP="00D3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4B8" w:rsidRDefault="007F44B8" w:rsidP="00D366E8">
      <w:pPr>
        <w:spacing w:after="0" w:line="240" w:lineRule="auto"/>
      </w:pPr>
      <w:r>
        <w:separator/>
      </w:r>
    </w:p>
  </w:footnote>
  <w:footnote w:type="continuationSeparator" w:id="0">
    <w:p w:rsidR="007F44B8" w:rsidRDefault="007F44B8" w:rsidP="00D36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8"/>
    <w:rsid w:val="0016282E"/>
    <w:rsid w:val="00247190"/>
    <w:rsid w:val="002D3257"/>
    <w:rsid w:val="002D4E8C"/>
    <w:rsid w:val="003B7189"/>
    <w:rsid w:val="004224F9"/>
    <w:rsid w:val="005D303B"/>
    <w:rsid w:val="006348D7"/>
    <w:rsid w:val="006D73F1"/>
    <w:rsid w:val="00781A0F"/>
    <w:rsid w:val="0079234E"/>
    <w:rsid w:val="007B757D"/>
    <w:rsid w:val="007F44B8"/>
    <w:rsid w:val="008B30ED"/>
    <w:rsid w:val="00920AD3"/>
    <w:rsid w:val="009B0804"/>
    <w:rsid w:val="009B249F"/>
    <w:rsid w:val="009C7C50"/>
    <w:rsid w:val="00B1625F"/>
    <w:rsid w:val="00B56102"/>
    <w:rsid w:val="00CB6AFA"/>
    <w:rsid w:val="00CC0D3F"/>
    <w:rsid w:val="00D27B85"/>
    <w:rsid w:val="00D366E8"/>
    <w:rsid w:val="00DA0E2D"/>
    <w:rsid w:val="00DA7B89"/>
    <w:rsid w:val="00DE1DB6"/>
    <w:rsid w:val="00EA4608"/>
    <w:rsid w:val="00ED3294"/>
    <w:rsid w:val="00F025A3"/>
    <w:rsid w:val="00F14EB4"/>
    <w:rsid w:val="00FB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B7C9"/>
  <w15:docId w15:val="{C2938BC1-D3A3-42D4-A141-8FB6C32E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6E8"/>
  </w:style>
  <w:style w:type="paragraph" w:styleId="a6">
    <w:name w:val="footer"/>
    <w:basedOn w:val="a"/>
    <w:link w:val="a7"/>
    <w:uiPriority w:val="99"/>
    <w:unhideWhenUsed/>
    <w:rsid w:val="00D36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6E8"/>
  </w:style>
  <w:style w:type="paragraph" w:styleId="a8">
    <w:name w:val="Balloon Text"/>
    <w:basedOn w:val="a"/>
    <w:link w:val="a9"/>
    <w:uiPriority w:val="99"/>
    <w:semiHidden/>
    <w:unhideWhenUsed/>
    <w:rsid w:val="00F1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B63DA-F4BF-4699-BD18-3224E33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DerevyaginaMI</cp:lastModifiedBy>
  <cp:revision>6</cp:revision>
  <cp:lastPrinted>2018-10-08T07:59:00Z</cp:lastPrinted>
  <dcterms:created xsi:type="dcterms:W3CDTF">2018-10-08T07:59:00Z</dcterms:created>
  <dcterms:modified xsi:type="dcterms:W3CDTF">2018-11-26T08:04:00Z</dcterms:modified>
</cp:coreProperties>
</file>